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3.2 Risorse di Calcolo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ind w:left="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E` necessario compilare questa sezione sia </w:t>
      </w:r>
      <w:r w:rsidDel="00000000" w:rsidR="00000000" w:rsidRPr="00000000">
        <w:rPr>
          <w:i w:val="1"/>
          <w:rtl w:val="0"/>
        </w:rPr>
        <w:t xml:space="preserve">se</w:t>
      </w:r>
      <w:r w:rsidDel="00000000" w:rsidR="00000000" w:rsidRPr="00000000">
        <w:rPr>
          <w:i w:val="1"/>
          <w:rtl w:val="0"/>
        </w:rPr>
        <w:t xml:space="preserve"> si usufruisce di risorse di calcolo dell'INFN (CPU, Disco, Tape, HPC, licenze software) e si vogliono mantenere, sia se si intende richiederne di nuove.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Referenti INFN del Calcolo dell’esperimento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8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Nome Esperimento/Sigla: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0" w:before="0" w:beforeAutospacing="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Indicare nome, struttura, mail dei referenti del calcolo dell’esperimento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Ruolo di INFN nel Calcolo dell'esperimento: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i w:val="1"/>
          <w:rtl w:val="0"/>
        </w:rPr>
        <w:t xml:space="preserve">una breve introduzione sul ruolo di INFN nel Calcolo dell'esperimento (es: gestisce l'intero calcolo, le risorse sono usate solo per le analisi degli user della comunità INFN, INFN fornisce servizi ed è coinvolto nel Computing ufficiale dell'esperimento internazionale con dei compiti e delle responsabilità definite,...)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i w:val="1"/>
          <w:rtl w:val="0"/>
        </w:rPr>
        <w:t xml:space="preserve">MoU: se esiste, è necessario allegare il MoU tra INFN e Collaborazione dove si parla degli accordi e gli impegni relativi al calcolo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i w:val="1"/>
          <w:rtl w:val="0"/>
        </w:rPr>
        <w:t xml:space="preserve">Computing Model document dell'esperimento: se esiste è necessario allegarlo. </w:t>
      </w:r>
      <w:r w:rsidDel="00000000" w:rsidR="00000000" w:rsidRPr="00000000">
        <w:rPr>
          <w:i w:val="1"/>
          <w:rtl w:val="0"/>
        </w:rPr>
        <w:t xml:space="preserve">Altrimenti descrivere brevemente il Computing Model dell’esperimento (es: dove vengono prodotti i dati, dove vengono analizzati, archiviati, volumi in gioco, quantità di risorse necessarie e loro tipologia…)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i w:val="1"/>
          <w:rtl w:val="0"/>
        </w:rPr>
        <w:t xml:space="preserve">Stima delle risorse chieste a INFN per i prossimi 4 anni. Y0 = anno in corso.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500"/>
        <w:gridCol w:w="1560"/>
        <w:gridCol w:w="1560"/>
        <w:gridCol w:w="1560"/>
        <w:gridCol w:w="1560"/>
        <w:tblGridChange w:id="0">
          <w:tblGrid>
            <w:gridCol w:w="1620"/>
            <w:gridCol w:w="150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Y0+1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Y0+2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Y0+3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Y0+4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CPU [HS06]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Disco [TB]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Tape [TB]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HPC [Mcore*hours]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0" w:before="280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80" w:before="2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Pledge anno in corso (Y0):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i w:val="1"/>
          <w:rtl w:val="0"/>
        </w:rPr>
        <w:t xml:space="preserve">Riportare i pledge di cui si usufruisce per l’anno in corso: CPU, disco, tape e HPC. Specificare il sito in cui si ha il pledge (tipicamente si tratterà di CNAF-Tier1 oppure INFN-Cloud, ma potrebbe essere anche qualche altra infrastruttura); </w:t>
      </w:r>
      <w:r w:rsidDel="00000000" w:rsidR="00000000" w:rsidRPr="00000000">
        <w:rPr>
          <w:i w:val="1"/>
          <w:rtl w:val="0"/>
        </w:rPr>
        <w:t xml:space="preserve">il pledge attualmente in uso è disponibile qui: </w:t>
      </w:r>
    </w:p>
    <w:p w:rsidR="00000000" w:rsidDel="00000000" w:rsidP="00000000" w:rsidRDefault="00000000" w:rsidRPr="00000000" w14:paraId="0000002E">
      <w:pPr>
        <w:spacing w:after="240" w:before="240" w:lineRule="auto"/>
        <w:ind w:left="720" w:firstLine="0"/>
        <w:jc w:val="both"/>
        <w:rPr>
          <w:i w:val="1"/>
        </w:rPr>
      </w:pPr>
      <w:hyperlink r:id="rId6">
        <w:r w:rsidDel="00000000" w:rsidR="00000000" w:rsidRPr="00000000">
          <w:rPr>
            <w:i w:val="1"/>
            <w:u w:val="single"/>
            <w:rtl w:val="0"/>
          </w:rPr>
          <w:t xml:space="preserve">https://t1metria.cr.cnaf.infn.it/d/QbafK_b7z/resource-usage-per-experiment?orgId=18</w:t>
        </w:r>
      </w:hyperlink>
      <w:r w:rsidDel="00000000" w:rsidR="00000000" w:rsidRPr="00000000">
        <w:rPr>
          <w:i w:val="1"/>
          <w:rtl w:val="0"/>
        </w:rPr>
        <w:br w:type="textWrapping"/>
      </w:r>
    </w:p>
    <w:tbl>
      <w:tblPr>
        <w:tblStyle w:val="Table2"/>
        <w:tblW w:w="9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1605"/>
        <w:gridCol w:w="1665"/>
        <w:gridCol w:w="2085"/>
        <w:gridCol w:w="2400"/>
        <w:tblGridChange w:id="0">
          <w:tblGrid>
            <w:gridCol w:w="1575"/>
            <w:gridCol w:w="1605"/>
            <w:gridCol w:w="1665"/>
            <w:gridCol w:w="2085"/>
            <w:gridCol w:w="240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1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CPU (HS06)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1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DISCO (TB)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TAPE (TB)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1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HPC (descrizione)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1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Infrastruttura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80" w:before="2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Attività per cui è usato il pledge: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i w:val="1"/>
          <w:rtl w:val="0"/>
        </w:rPr>
        <w:t xml:space="preserve">Descrivere brevemente le attività per cui viene usato il pledge attuale. Commentare in caso di sotto-utilizzo rispetto alle richieste che erano state fatte l'anno precedente, o al contrario di sotto-dimensionamento delle risorse  (es: necessità di extra-pledge).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80" w:before="280" w:lineRule="auto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Programmazione anno successivo (Y0+1):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sz w:val="24"/>
          <w:szCs w:val="24"/>
          <w:rtl w:val="0"/>
        </w:rPr>
        <w:t xml:space="preserve">ichieste di </w:t>
      </w:r>
      <w:r w:rsidDel="00000000" w:rsidR="00000000" w:rsidRPr="00000000">
        <w:rPr>
          <w:b w:val="1"/>
          <w:i w:val="1"/>
          <w:rtl w:val="0"/>
        </w:rPr>
        <w:t xml:space="preserve">CPU, DISK e TAPE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per l'anno successivo:</w:t>
      </w:r>
    </w:p>
    <w:p w:rsidR="00000000" w:rsidDel="00000000" w:rsidP="00000000" w:rsidRDefault="00000000" w:rsidRPr="00000000" w14:paraId="00000043">
      <w:pPr>
        <w:spacing w:before="120"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Per le </w:t>
      </w:r>
      <w:r w:rsidDel="00000000" w:rsidR="00000000" w:rsidRPr="00000000">
        <w:rPr>
          <w:b w:val="1"/>
          <w:i w:val="1"/>
          <w:rtl w:val="0"/>
        </w:rPr>
        <w:t xml:space="preserve">risorse CPU, DISK e TAPE</w:t>
      </w:r>
      <w:r w:rsidDel="00000000" w:rsidR="00000000" w:rsidRPr="00000000">
        <w:rPr>
          <w:i w:val="1"/>
          <w:rtl w:val="0"/>
        </w:rPr>
        <w:t xml:space="preserve"> occorre riempire la tabella 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12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esplicitare nella </w:t>
      </w:r>
      <w:r w:rsidDel="00000000" w:rsidR="00000000" w:rsidRPr="00000000">
        <w:rPr>
          <w:b w:val="1"/>
          <w:i w:val="1"/>
          <w:rtl w:val="0"/>
        </w:rPr>
        <w:t xml:space="preserve">colonna Infrastruttura</w:t>
      </w:r>
      <w:r w:rsidDel="00000000" w:rsidR="00000000" w:rsidRPr="00000000">
        <w:rPr>
          <w:i w:val="1"/>
          <w:rtl w:val="0"/>
        </w:rPr>
        <w:t xml:space="preserve">: se al Tier1 Cnaf o su INFN Cloud (indicando se serve che siano su backbone o nodo federato).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before="0" w:beforeAutospacing="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esplicitare la </w:t>
      </w:r>
      <w:r w:rsidDel="00000000" w:rsidR="00000000" w:rsidRPr="00000000">
        <w:rPr>
          <w:b w:val="1"/>
          <w:i w:val="1"/>
          <w:rtl w:val="0"/>
        </w:rPr>
        <w:t xml:space="preserve">monetizzazione</w:t>
      </w:r>
      <w:r w:rsidDel="00000000" w:rsidR="00000000" w:rsidRPr="00000000">
        <w:rPr>
          <w:i w:val="1"/>
          <w:rtl w:val="0"/>
        </w:rPr>
        <w:t xml:space="preserve"> (colonne keuro) usando la tabella dei costi riportati nelle Linee Guida aggiornata dalla C3SN</w:t>
      </w:r>
    </w:p>
    <w:p w:rsidR="00000000" w:rsidDel="00000000" w:rsidP="00000000" w:rsidRDefault="00000000" w:rsidRPr="00000000" w14:paraId="00000046">
      <w:pPr>
        <w:spacing w:line="240" w:lineRule="auto"/>
        <w:ind w:right="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2730" w:tblpY="0"/>
        <w:tblW w:w="3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275"/>
        <w:gridCol w:w="1170"/>
        <w:tblGridChange w:id="0">
          <w:tblGrid>
            <w:gridCol w:w="1275"/>
            <w:gridCol w:w="1275"/>
            <w:gridCol w:w="1170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(€/HS06)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(€/TB-N)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ind w:right="1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Tape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(€/TB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ind w:right="1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ind w:right="1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ind w:right="1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4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20" w:line="240" w:lineRule="auto"/>
        <w:ind w:left="144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120" w:line="240" w:lineRule="auto"/>
        <w:ind w:lef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afterAutospacing="0" w:before="12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Le richieste di CPU vanno espresse in termini di HS06. Comunemente si può fare l’assunzione 1 core = 10 HS06. 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afterAutospacing="0" w:before="0" w:beforeAutospacing="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L'unità di misura HS06 è dunque intesa come potenza di calcolo di picco, bisogna considerare che, ad esempio, un pledge di 1000 HS06 è inteso per 365 * 24 hours all’anno, ovvero 8.76 MHS06*hours. 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0" w:afterAutospacing="0" w:before="0" w:beforeAutospacing="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Può anche essere utile (best practice) indicare gli effettivi MHS06*hours di cui si necessita (ad esempio se le risorse saranno usate in modo continuativo e costante oppure a “burst” per un periodo di tempo limitato per un corrispondente certo quantitativo di MHS06*hours).</w:t>
      </w:r>
      <w:r w:rsidDel="00000000" w:rsidR="00000000" w:rsidRPr="00000000">
        <w:rPr>
          <w:i w:val="1"/>
          <w:rtl w:val="0"/>
        </w:rPr>
        <w:t xml:space="preserve"> Indicare nella colonna Range temporale quanti mesi di utilizzo si prevedono. 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before="0" w:beforeAutospacing="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Se si chiedono risorse su più infrastrutture duplicare la tabella.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0" w:tblpY="50.52001953125227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0"/>
        <w:gridCol w:w="960"/>
        <w:gridCol w:w="825"/>
        <w:gridCol w:w="915"/>
        <w:gridCol w:w="930"/>
        <w:gridCol w:w="870"/>
        <w:gridCol w:w="855"/>
        <w:gridCol w:w="885"/>
        <w:gridCol w:w="1860"/>
        <w:tblGridChange w:id="0">
          <w:tblGrid>
            <w:gridCol w:w="1260"/>
            <w:gridCol w:w="960"/>
            <w:gridCol w:w="825"/>
            <w:gridCol w:w="915"/>
            <w:gridCol w:w="930"/>
            <w:gridCol w:w="870"/>
            <w:gridCol w:w="855"/>
            <w:gridCol w:w="885"/>
            <w:gridCol w:w="1860"/>
          </w:tblGrid>
        </w:tblGridChange>
      </w:tblGrid>
      <w:tr>
        <w:trPr>
          <w:cantSplit w:val="1"/>
          <w:trHeight w:val="364.9804687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CPU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DISCO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TAPE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Infrastruttura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(Tier1, Cloud,...)</w:t>
            </w:r>
          </w:p>
        </w:tc>
      </w:tr>
      <w:tr>
        <w:trPr>
          <w:cantSplit w:val="0"/>
          <w:trHeight w:val="184.9804687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HS06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kEuro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Range temporale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kEuro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kEuro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INCREMENTO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.089355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PLEDGE RICHIESTO (attuale + incremento)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720.0" w:type="dxa"/>
              <w:left w:w="-720.0" w:type="dxa"/>
              <w:bottom w:w="-720.0" w:type="dxa"/>
              <w:right w:w="-7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Descrizione</w:t>
      </w:r>
      <w:r w:rsidDel="00000000" w:rsidR="00000000" w:rsidRPr="00000000">
        <w:rPr>
          <w:sz w:val="24"/>
          <w:szCs w:val="24"/>
          <w:rtl w:val="0"/>
        </w:rPr>
        <w:t xml:space="preserve"> del</w:t>
      </w:r>
      <w:r w:rsidDel="00000000" w:rsidR="00000000" w:rsidRPr="00000000">
        <w:rPr>
          <w:sz w:val="24"/>
          <w:szCs w:val="24"/>
          <w:rtl w:val="0"/>
        </w:rPr>
        <w:t xml:space="preserve"> tipo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utilizzo della CPU</w:t>
      </w:r>
      <w:r w:rsidDel="00000000" w:rsidR="00000000" w:rsidRPr="00000000">
        <w:rPr>
          <w:sz w:val="24"/>
          <w:szCs w:val="24"/>
          <w:rtl w:val="0"/>
        </w:rPr>
        <w:t xml:space="preserve"> (MHS06*hours, a burst in n-mesi, in modo quasi uniforme e costante,etc..) e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profilo temporale di utilizzo dello storage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D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pacing w:after="240" w:befor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Richieste di </w:t>
      </w:r>
      <w:r w:rsidDel="00000000" w:rsidR="00000000" w:rsidRPr="00000000">
        <w:rPr>
          <w:b w:val="1"/>
          <w:rtl w:val="0"/>
        </w:rPr>
        <w:t xml:space="preserve">HPC </w:t>
      </w:r>
      <w:r w:rsidDel="00000000" w:rsidR="00000000" w:rsidRPr="00000000">
        <w:rPr>
          <w:sz w:val="24"/>
          <w:szCs w:val="24"/>
          <w:rtl w:val="0"/>
        </w:rPr>
        <w:t xml:space="preserve">per l'anno successivo:</w:t>
      </w:r>
    </w:p>
    <w:p w:rsidR="00000000" w:rsidDel="00000000" w:rsidP="00000000" w:rsidRDefault="00000000" w:rsidRPr="00000000" w14:paraId="00000081">
      <w:pPr>
        <w:spacing w:after="240" w:befor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Per le </w:t>
      </w:r>
      <w:r w:rsidDel="00000000" w:rsidR="00000000" w:rsidRPr="00000000">
        <w:rPr>
          <w:b w:val="1"/>
          <w:i w:val="1"/>
          <w:rtl w:val="0"/>
        </w:rPr>
        <w:t xml:space="preserve">richieste di HPC</w:t>
      </w:r>
      <w:r w:rsidDel="00000000" w:rsidR="00000000" w:rsidRPr="00000000">
        <w:rPr>
          <w:i w:val="1"/>
          <w:rtl w:val="0"/>
        </w:rPr>
        <w:t xml:space="preserve"> o</w:t>
      </w:r>
      <w:r w:rsidDel="00000000" w:rsidR="00000000" w:rsidRPr="00000000">
        <w:rPr>
          <w:i w:val="1"/>
          <w:rtl w:val="0"/>
        </w:rPr>
        <w:t xml:space="preserve">ccorre esplicitare il più possibile delle seguenti informazioni: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spacing w:after="0" w:afterAutospacing="0" w:before="12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entità (es.: Mcore*hours e se possibile anche convertirle in HS06)</w:t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spacing w:after="0" w:afterAutospacing="0" w:before="0" w:beforeAutospacing="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profilo temporale in cui si desidera avere a disposizione le risorse (il tempo per il quale serve la risorsa)</w:t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spacing w:after="0" w:afterAutospacing="0" w:before="0" w:beforeAutospacing="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ulteriori condizioni (es.: la configurazione di memoria, la RAM e il Disco necessari)</w:t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spacing w:after="0" w:afterAutospacing="0" w:before="0" w:beforeAutospacing="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il numero di core simultanei necessari</w:t>
      </w:r>
    </w:p>
    <w:p w:rsidR="00000000" w:rsidDel="00000000" w:rsidP="00000000" w:rsidRDefault="00000000" w:rsidRPr="00000000" w14:paraId="00000086">
      <w:pPr>
        <w:numPr>
          <w:ilvl w:val="0"/>
          <w:numId w:val="7"/>
        </w:numPr>
        <w:spacing w:after="0" w:afterAutospacing="0" w:before="0" w:beforeAutospacing="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in che modalità si vogliono le risorse (es: in che Data Center, su che macchina).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spacing w:before="0" w:beforeAutospacing="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tra le richieste HPC e` possibile anche indicare la </w:t>
      </w:r>
      <w:r w:rsidDel="00000000" w:rsidR="00000000" w:rsidRPr="00000000">
        <w:rPr>
          <w:b w:val="1"/>
          <w:i w:val="1"/>
          <w:rtl w:val="0"/>
        </w:rPr>
        <w:t xml:space="preserve">richiesta di GPU</w:t>
      </w:r>
      <w:r w:rsidDel="00000000" w:rsidR="00000000" w:rsidRPr="00000000">
        <w:rPr>
          <w:i w:val="1"/>
          <w:rtl w:val="0"/>
        </w:rPr>
        <w:t xml:space="preserve">. Anche in questo caso indicare di quante GPU si fa richiesta, per quanto tempo servono e se serve del disco.</w:t>
      </w:r>
    </w:p>
    <w:p w:rsidR="00000000" w:rsidDel="00000000" w:rsidP="00000000" w:rsidRDefault="00000000" w:rsidRPr="00000000" w14:paraId="00000088">
      <w:pPr>
        <w:spacing w:before="120" w:line="240" w:lineRule="auto"/>
        <w:ind w:lef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before="120" w:line="240" w:lineRule="auto"/>
        <w:ind w:lef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120" w:line="240" w:lineRule="auto"/>
        <w:ind w:lef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before="120" w:line="240" w:lineRule="auto"/>
        <w:ind w:lef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120" w:line="240" w:lineRule="auto"/>
        <w:ind w:lef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Motivazione delle richieste con le attività che si intendono svolgere:</w:t>
      </w:r>
    </w:p>
    <w:p w:rsidR="00000000" w:rsidDel="00000000" w:rsidP="00000000" w:rsidRDefault="00000000" w:rsidRPr="00000000" w14:paraId="0000008E">
      <w:pPr>
        <w:spacing w:after="280" w:before="28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80" w:before="2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Licenze software: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after="0" w:afterAutospacing="0" w:before="28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Quali licenze, a carico della CSN2, sono attualmente usate per le attività del progetto e quali licenze sono necessarie per l’anno successivo.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Fare riferimento al documento sulle Linee guida per le richieste di Licenze software (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https://web.infn.it/csn2/index.php/it/finanze/documenti-utili</w:t>
        </w:r>
      </w:hyperlink>
      <w:r w:rsidDel="00000000" w:rsidR="00000000" w:rsidRPr="00000000">
        <w:rPr>
          <w:i w:val="1"/>
          <w:rtl w:val="0"/>
        </w:rPr>
        <w:t xml:space="preserve">) dividendo le richieste tra Licenze Nazionali e Licenze Locali. Per le Licenze Nazionali esplicitare quante licenze e </w:t>
      </w:r>
      <w:r w:rsidDel="00000000" w:rsidR="00000000" w:rsidRPr="00000000">
        <w:rPr>
          <w:i w:val="1"/>
          <w:rtl w:val="0"/>
        </w:rPr>
        <w:t xml:space="preserve">quanti</w:t>
      </w:r>
      <w:r w:rsidDel="00000000" w:rsidR="00000000" w:rsidRPr="00000000">
        <w:rPr>
          <w:i w:val="1"/>
          <w:rtl w:val="0"/>
        </w:rPr>
        <w:t xml:space="preserve"> utilizzatori si prevedono e quale contributo si chiede alla CSN2.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pacing w:after="280" w:before="0" w:beforeAutospacing="0" w:lineRule="auto"/>
        <w:ind w:left="720" w:hanging="360"/>
        <w:jc w:val="both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Ricordarsi di far inserire nel database dei preventivi da ciascuna sezione coinvolta le richieste di finanziamento di licenze. Non basta scriverle qui!</w:t>
      </w:r>
    </w:p>
    <w:p w:rsidR="00000000" w:rsidDel="00000000" w:rsidP="00000000" w:rsidRDefault="00000000" w:rsidRPr="00000000" w14:paraId="00000093">
      <w:pPr>
        <w:spacing w:after="280" w:before="280" w:lineRule="auto"/>
        <w:ind w:left="72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1metria.cr.cnaf.infn.it/d/QbafK_b7z/resource-usage-per-experiment?orgId=18" TargetMode="External"/><Relationship Id="rId7" Type="http://schemas.openxmlformats.org/officeDocument/2006/relationships/hyperlink" Target="https://web.infn.it/csn2/index.php/it/finanze/documenti-ut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